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D3" w:rsidRPr="00E655F6" w:rsidRDefault="00DA68D3" w:rsidP="00E655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65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Выдержки из тематических сборников СОО «Детский правозащитный фонд «Шанс»:</w:t>
      </w:r>
    </w:p>
    <w:p w:rsidR="00DA68D3" w:rsidRPr="00E655F6" w:rsidRDefault="00DA68D3" w:rsidP="00E655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65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серия «Правовая библиотечка для семьи и детей»</w:t>
      </w:r>
    </w:p>
    <w:p w:rsidR="00DA68D3" w:rsidRPr="00E655F6" w:rsidRDefault="0070455A" w:rsidP="00E65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E65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Ответственность детей</w:t>
      </w:r>
    </w:p>
    <w:p w:rsidR="00DA68D3" w:rsidRPr="00E655F6" w:rsidRDefault="00DA68D3" w:rsidP="00E65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же как совершеннолетние, дети могут нести ответственность следующих видов:</w:t>
      </w:r>
    </w:p>
    <w:p w:rsidR="00DA68D3" w:rsidRPr="00E655F6" w:rsidRDefault="00DA68D3" w:rsidP="00E65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proofErr w:type="spellStart"/>
      <w:r w:rsidRPr="00E65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гражданско</w:t>
      </w:r>
      <w:proofErr w:type="spellEnd"/>
      <w:r w:rsidRPr="00E65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– правовая</w:t>
      </w: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  это ответственность за совершенные сделки, которые ребенок правомочен совершать самостоятельно, начиная с 14 лет. А также ответственность за причиненный ребенком вред, в случае причинения такого вреда при достижении 14 лет. Субсидиарную (то есть, дополнительную) ответственность в таких случаях могут нести и законные представители детей, если будет установлено отсутствие у ребенка достаточного дохода или имущества для возмещения вреда.</w:t>
      </w:r>
    </w:p>
    <w:p w:rsidR="00DA68D3" w:rsidRPr="00E655F6" w:rsidRDefault="00DA68D3" w:rsidP="00E65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proofErr w:type="gramStart"/>
      <w:r w:rsidRPr="00E65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</w:t>
      </w:r>
      <w:proofErr w:type="gramEnd"/>
      <w:r w:rsidRPr="00E65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емейно-правовая ответственность</w:t>
      </w: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данная ответственность связана как с обязанностью </w:t>
      </w:r>
      <w:r w:rsidRPr="00E65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уже достигшего совершеннолетия</w:t>
      </w: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ребенка в последующем содержать своих нетрудоспособных родителей, усыновителей, так и других родственников (например, бабушку, дедушку, отчима, мачеху) и фактических воспитателей – глава 15 Семейного кодекса РФ. Кроме того, семейно-правовая ответственность может наступать и у несовершеннолетнего (и даже еще не эмансипированного) ребенка – в случае рождения у такого несовершеннолетнего своего ребенка.</w:t>
      </w:r>
    </w:p>
    <w:p w:rsidR="00DA68D3" w:rsidRPr="00E655F6" w:rsidRDefault="00DA68D3" w:rsidP="00E65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5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Статья 62 Семейного кодекса РФ</w:t>
      </w: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устанавливает, что несовершеннолетние родители имеют права на совместное проживание с ребенком и участие в его воспитании. Несовершеннолетние родители, не состоящие в браке, в случае рождения у них ребенка и при установлении их материнства и (или) отцовства вправе самостоятельно осуществлять родительские права по достижении ими возраста шестнадцати лет. До достижения несовершеннолетними родителями возраста шестнадцати лет ребенку может быть назначен опекун, который будет осуществлять его воспитание совместно с несовершеннолетними родителями ребенка. Разногласия, возникающие между опекуном ребенка и несовершеннолетними родителями, разрешаются органом опеки и попечительства.</w:t>
      </w:r>
    </w:p>
    <w:p w:rsidR="00DA68D3" w:rsidRPr="00E655F6" w:rsidRDefault="00DA68D3" w:rsidP="00E65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Несовершеннолетние родители имеют права признавать и оспаривать свое отцовство и материнство на общих основаниях, а также имеют право требовать по достижении ими возраста четырнадцати лет установления отцовства в отношении своих детей в судебном порядке.</w:t>
      </w:r>
    </w:p>
    <w:p w:rsidR="00DA68D3" w:rsidRPr="00E655F6" w:rsidRDefault="00DA68D3" w:rsidP="00E65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E65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трудовая ответственность</w:t>
      </w: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может наступать в соответствии с нормами трудового законодательства (с ограничениями, установленными для детей) в случае начала трудовой деятельности ребенка. Так, Трудовой кодекс разрешает заключать трудовой договор с лицами, достигшими 16 лет. </w:t>
      </w:r>
      <w:proofErr w:type="gramStart"/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этом с согласия одного из родителей (попечителя) и органа опеки и попечительства трудовой договор может быть заключен с лицом, получающим общее образование и достигшим возраста четырнадцати лет, для выполнения в свободное от получения образования время легкого труда, </w:t>
      </w: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 причиняющего вреда его здоровью и без ущерба для освоения образовательной программы.</w:t>
      </w:r>
      <w:proofErr w:type="gramEnd"/>
    </w:p>
    <w:p w:rsidR="00DA68D3" w:rsidRPr="00E655F6" w:rsidRDefault="00DA68D3" w:rsidP="00E65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организациях кинематографии, театрах, театральных и концертных организациях, цирках допускается с согласия одного из родителей (опекуна) и разрешения органа опеки и попечительства заключение трудового договора с лицами, не достигшими возраста четырнадцати лет, для участия в создании и (или) исполнении (экспонировании) произведений без ущерба здоровью и нравственному развитию. Трудовой договор от имени работника в этом случае подписывается его родителем (опекуном). В разрешении органа опеки и попечительства указываются максимально допустимая продолжительность ежедневной работы и другие условия, в которых может выполняться работа.</w:t>
      </w:r>
    </w:p>
    <w:p w:rsidR="00DA68D3" w:rsidRPr="00E655F6" w:rsidRDefault="00DA68D3" w:rsidP="00E65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Трудовое законодательство устанавливает ограничения, связанные с привлечением несовершеннолетних к труду, - по продолжительности непрерывной трудовой деятельности,  видам и характеру работ, к которым недопустимо привлекать детей, условиям оплаты их труда и другое. В целом же, несовершеннолетние работники также должны подчиняться общему трудовому распорядку, дисциплине труда, локальным нормативным актам работодателя – ст. 189 Трудового кодекса РФ.</w:t>
      </w:r>
    </w:p>
    <w:p w:rsidR="00DA68D3" w:rsidRPr="00E655F6" w:rsidRDefault="00DA68D3" w:rsidP="00E65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 </w:t>
      </w:r>
      <w:r w:rsidRPr="00E65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административная ответственность детей.</w:t>
      </w: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соответствии с Кодексом об административных правонарушениях административной ответственности подлежит лицо, достигшее к моменту совершения административного правонарушения возраста шестнадцати лет.</w:t>
      </w:r>
    </w:p>
    <w:p w:rsidR="00DA68D3" w:rsidRPr="00E655F6" w:rsidRDefault="00DA68D3" w:rsidP="00E65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 </w:t>
      </w:r>
      <w:hyperlink r:id="rId5" w:history="1">
        <w:r w:rsidRPr="00E655F6">
          <w:rPr>
            <w:rFonts w:ascii="Times New Roman" w:eastAsia="Times New Roman" w:hAnsi="Times New Roman" w:cs="Times New Roman"/>
            <w:color w:val="356AA0"/>
            <w:sz w:val="28"/>
            <w:szCs w:val="28"/>
            <w:lang w:eastAsia="ru-RU"/>
          </w:rPr>
          <w:t>ст. 2.3</w:t>
        </w:r>
      </w:hyperlink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КоАП РФ законодатель считает лицо, достигшее 16 лет, обязанным и способным осознавать социальный смысл своего поведения, признавать и уважать права и свободы других лиц, правильно оценивать свои действия и отвечать за них, предвидеть последствия возможных нарушений. Вместе с тем административная ответственность несовершеннолетних граждан от 16 до 18 лет обладает множественными собственными специфическими характеристиками, отражающими особенности физиологического и психологического развития подростков. </w:t>
      </w:r>
      <w:proofErr w:type="gramStart"/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в качестве устоявшихся институциональных особенностей административной ответственности несовершеннолетних можно определить, например, такие:</w:t>
      </w:r>
      <w:proofErr w:type="gramEnd"/>
    </w:p>
    <w:p w:rsidR="00DA68D3" w:rsidRPr="00E655F6" w:rsidRDefault="00DA68D3" w:rsidP="00E65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за правонарушения, совершенные лицами, не достигшими шестнадцатилетнего возраста, наказание могут нести их представители (например, </w:t>
      </w:r>
      <w:hyperlink r:id="rId6" w:history="1">
        <w:r w:rsidRPr="00E655F6">
          <w:rPr>
            <w:rFonts w:ascii="Times New Roman" w:eastAsia="Times New Roman" w:hAnsi="Times New Roman" w:cs="Times New Roman"/>
            <w:color w:val="356AA0"/>
            <w:sz w:val="28"/>
            <w:szCs w:val="28"/>
            <w:lang w:eastAsia="ru-RU"/>
          </w:rPr>
          <w:t>ст. 20.22</w:t>
        </w:r>
      </w:hyperlink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КоАП РФ);</w:t>
      </w:r>
    </w:p>
    <w:p w:rsidR="00DA68D3" w:rsidRPr="00E655F6" w:rsidRDefault="00DA68D3" w:rsidP="00E65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применительно к несовершеннолетним от 16 до 18 лет КоАП РФ предусматривает ряд исключений при назначении административных наказаний (например, </w:t>
      </w:r>
      <w:hyperlink r:id="rId7" w:history="1">
        <w:r w:rsidRPr="00E655F6">
          <w:rPr>
            <w:rFonts w:ascii="Times New Roman" w:eastAsia="Times New Roman" w:hAnsi="Times New Roman" w:cs="Times New Roman"/>
            <w:color w:val="356AA0"/>
            <w:sz w:val="28"/>
            <w:szCs w:val="28"/>
            <w:lang w:eastAsia="ru-RU"/>
          </w:rPr>
          <w:t>ст. 3.9</w:t>
        </w:r>
      </w:hyperlink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КоАП РФ);</w:t>
      </w:r>
    </w:p>
    <w:p w:rsidR="00DA68D3" w:rsidRPr="00E655F6" w:rsidRDefault="00DA68D3" w:rsidP="00E65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в отношении административной ответственности несовершеннолетних положения </w:t>
      </w:r>
      <w:hyperlink r:id="rId8" w:history="1">
        <w:r w:rsidRPr="00E655F6">
          <w:rPr>
            <w:rFonts w:ascii="Times New Roman" w:eastAsia="Times New Roman" w:hAnsi="Times New Roman" w:cs="Times New Roman"/>
            <w:color w:val="356AA0"/>
            <w:sz w:val="28"/>
            <w:szCs w:val="28"/>
            <w:lang w:eastAsia="ru-RU"/>
          </w:rPr>
          <w:t>ст. 1.3</w:t>
        </w:r>
      </w:hyperlink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КоАП РФ получают свое выражение в ряде правовых актов РФ, в частности в </w:t>
      </w:r>
      <w:hyperlink r:id="rId9" w:history="1">
        <w:r w:rsidRPr="00E655F6">
          <w:rPr>
            <w:rFonts w:ascii="Times New Roman" w:eastAsia="Times New Roman" w:hAnsi="Times New Roman" w:cs="Times New Roman"/>
            <w:color w:val="356AA0"/>
            <w:sz w:val="28"/>
            <w:szCs w:val="28"/>
            <w:lang w:eastAsia="ru-RU"/>
          </w:rPr>
          <w:t>ФЗ</w:t>
        </w:r>
      </w:hyperlink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от 24 июня 1999 г. N 120-ФЗ (с изменениями и дополнениями) "Об основах системы профилактики безнадзорности и правонарушений несовершеннолетних", предусматривающих формирование базовых органов административной </w:t>
      </w: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юрисдикции для несовершеннолетних правонарушителей - комиссий по делам несовершеннолетних и защите их прав.</w:t>
      </w:r>
      <w:proofErr w:type="gramEnd"/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Положения </w:t>
      </w:r>
      <w:hyperlink r:id="rId10" w:history="1">
        <w:r w:rsidRPr="00E655F6">
          <w:rPr>
            <w:rFonts w:ascii="Times New Roman" w:eastAsia="Times New Roman" w:hAnsi="Times New Roman" w:cs="Times New Roman"/>
            <w:color w:val="356AA0"/>
            <w:sz w:val="28"/>
            <w:szCs w:val="28"/>
            <w:lang w:eastAsia="ru-RU"/>
          </w:rPr>
          <w:t>ст. 1.3.1</w:t>
        </w:r>
      </w:hyperlink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КоАП РФ в отношении несовершеннолетних правонарушителей реализуются посредством принятия многочисленных нормативных актов на региональном уровне практически во всех субъектах Российской Федерации</w:t>
      </w:r>
    </w:p>
    <w:p w:rsidR="00DA68D3" w:rsidRPr="00E655F6" w:rsidRDefault="00DA68D3" w:rsidP="00E65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применять меры административной ответственности к несовершеннолетним преимущественно вправе лишь комиссии по делам несовершеннолетних и защите их прав.</w:t>
      </w:r>
    </w:p>
    <w:p w:rsidR="00DA68D3" w:rsidRPr="00E655F6" w:rsidRDefault="00DA68D3" w:rsidP="00E65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поскольку основной массив дел об административных правонарушениях с участием несовершеннолетних отнесен к подведомственности комиссий по делам несовершеннолетних и защите их прав, то, в соответствии с положениями КоАП РФ </w:t>
      </w:r>
      <w:hyperlink r:id="rId11" w:history="1">
        <w:r w:rsidRPr="00E655F6">
          <w:rPr>
            <w:rFonts w:ascii="Times New Roman" w:eastAsia="Times New Roman" w:hAnsi="Times New Roman" w:cs="Times New Roman"/>
            <w:color w:val="356AA0"/>
            <w:sz w:val="28"/>
            <w:szCs w:val="28"/>
            <w:lang w:eastAsia="ru-RU"/>
          </w:rPr>
          <w:t>(глава 3)</w:t>
        </w:r>
      </w:hyperlink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 несовершеннолетним, как правило, применяются такие меры административного наказания, как предупреждение и административный штраф;</w:t>
      </w:r>
    </w:p>
    <w:p w:rsidR="00DA68D3" w:rsidRPr="00E655F6" w:rsidRDefault="00DA68D3" w:rsidP="00E65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применительно к несовершеннолетним от 16 до 18 лет процессуальный порядок привлечения к административной ответственности в подавляющем большинстве случаев является внесудебным, т.к. осуществляется органами специальной юрисдикции - комиссиями по делам несовершеннолетних и защите их прав.</w:t>
      </w:r>
    </w:p>
    <w:p w:rsidR="00DA68D3" w:rsidRPr="00E655F6" w:rsidRDefault="00DA68D3" w:rsidP="00E65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уголовная ответственность</w:t>
      </w: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соответствии со ст.ст. 19-20 Уголовного кодекса РФ уголовной ответственности подлежит только вменяемое физическое лицо, достигшее возраста, установленного настоящим Кодексом.  Уголовной ответственности подлежит лицо, достигшее ко времени совершения преступления </w:t>
      </w:r>
      <w:r w:rsidRPr="00E65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шестнадцатилетнего возраста</w:t>
      </w: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A68D3" w:rsidRPr="00E655F6" w:rsidRDefault="00DA68D3" w:rsidP="00E65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Лица, достигшие ко времени совершения преступления </w:t>
      </w:r>
      <w:r w:rsidRPr="00E65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четырнадцатилетнего возраста</w:t>
      </w: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подлежат уголовной ответственности за убийство </w:t>
      </w:r>
      <w:hyperlink r:id="rId12" w:history="1">
        <w:r w:rsidRPr="00E655F6">
          <w:rPr>
            <w:rFonts w:ascii="Times New Roman" w:eastAsia="Times New Roman" w:hAnsi="Times New Roman" w:cs="Times New Roman"/>
            <w:color w:val="356AA0"/>
            <w:sz w:val="28"/>
            <w:szCs w:val="28"/>
            <w:lang w:eastAsia="ru-RU"/>
          </w:rPr>
          <w:t>(статья 105)</w:t>
        </w:r>
      </w:hyperlink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умышленное причинение тяжкого вреда здоровью </w:t>
      </w:r>
      <w:hyperlink r:id="rId13" w:history="1">
        <w:r w:rsidRPr="00E655F6">
          <w:rPr>
            <w:rFonts w:ascii="Times New Roman" w:eastAsia="Times New Roman" w:hAnsi="Times New Roman" w:cs="Times New Roman"/>
            <w:color w:val="356AA0"/>
            <w:sz w:val="28"/>
            <w:szCs w:val="28"/>
            <w:lang w:eastAsia="ru-RU"/>
          </w:rPr>
          <w:t>(статья 111)</w:t>
        </w:r>
      </w:hyperlink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умышленное причинение средней тяжести вреда здоровью </w:t>
      </w:r>
      <w:hyperlink r:id="rId14" w:history="1">
        <w:r w:rsidRPr="00E655F6">
          <w:rPr>
            <w:rFonts w:ascii="Times New Roman" w:eastAsia="Times New Roman" w:hAnsi="Times New Roman" w:cs="Times New Roman"/>
            <w:color w:val="356AA0"/>
            <w:sz w:val="28"/>
            <w:szCs w:val="28"/>
            <w:lang w:eastAsia="ru-RU"/>
          </w:rPr>
          <w:t>(статья 112)</w:t>
        </w:r>
      </w:hyperlink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похищение человека </w:t>
      </w:r>
      <w:hyperlink r:id="rId15" w:history="1">
        <w:r w:rsidRPr="00E655F6">
          <w:rPr>
            <w:rFonts w:ascii="Times New Roman" w:eastAsia="Times New Roman" w:hAnsi="Times New Roman" w:cs="Times New Roman"/>
            <w:color w:val="356AA0"/>
            <w:sz w:val="28"/>
            <w:szCs w:val="28"/>
            <w:lang w:eastAsia="ru-RU"/>
          </w:rPr>
          <w:t>(статья 126)</w:t>
        </w:r>
      </w:hyperlink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изнасилование </w:t>
      </w:r>
      <w:hyperlink r:id="rId16" w:history="1">
        <w:r w:rsidRPr="00E655F6">
          <w:rPr>
            <w:rFonts w:ascii="Times New Roman" w:eastAsia="Times New Roman" w:hAnsi="Times New Roman" w:cs="Times New Roman"/>
            <w:color w:val="356AA0"/>
            <w:sz w:val="28"/>
            <w:szCs w:val="28"/>
            <w:lang w:eastAsia="ru-RU"/>
          </w:rPr>
          <w:t>(статья 131)</w:t>
        </w:r>
      </w:hyperlink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насильственные действия сексуального характера </w:t>
      </w:r>
      <w:hyperlink r:id="rId17" w:history="1">
        <w:r w:rsidRPr="00E655F6">
          <w:rPr>
            <w:rFonts w:ascii="Times New Roman" w:eastAsia="Times New Roman" w:hAnsi="Times New Roman" w:cs="Times New Roman"/>
            <w:color w:val="356AA0"/>
            <w:sz w:val="28"/>
            <w:szCs w:val="28"/>
            <w:lang w:eastAsia="ru-RU"/>
          </w:rPr>
          <w:t>(статья 132)</w:t>
        </w:r>
      </w:hyperlink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кражу </w:t>
      </w:r>
      <w:hyperlink r:id="rId18" w:history="1">
        <w:r w:rsidRPr="00E655F6">
          <w:rPr>
            <w:rFonts w:ascii="Times New Roman" w:eastAsia="Times New Roman" w:hAnsi="Times New Roman" w:cs="Times New Roman"/>
            <w:color w:val="356AA0"/>
            <w:sz w:val="28"/>
            <w:szCs w:val="28"/>
            <w:lang w:eastAsia="ru-RU"/>
          </w:rPr>
          <w:t>(статья 158)</w:t>
        </w:r>
      </w:hyperlink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грабеж </w:t>
      </w:r>
      <w:hyperlink r:id="rId19" w:history="1">
        <w:r w:rsidRPr="00E655F6">
          <w:rPr>
            <w:rFonts w:ascii="Times New Roman" w:eastAsia="Times New Roman" w:hAnsi="Times New Roman" w:cs="Times New Roman"/>
            <w:color w:val="356AA0"/>
            <w:sz w:val="28"/>
            <w:szCs w:val="28"/>
            <w:lang w:eastAsia="ru-RU"/>
          </w:rPr>
          <w:t>(статья 161)</w:t>
        </w:r>
      </w:hyperlink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разбой </w:t>
      </w:r>
      <w:hyperlink r:id="rId20" w:history="1">
        <w:r w:rsidRPr="00E655F6">
          <w:rPr>
            <w:rFonts w:ascii="Times New Roman" w:eastAsia="Times New Roman" w:hAnsi="Times New Roman" w:cs="Times New Roman"/>
            <w:color w:val="356AA0"/>
            <w:sz w:val="28"/>
            <w:szCs w:val="28"/>
            <w:lang w:eastAsia="ru-RU"/>
          </w:rPr>
          <w:t>(статья 162)</w:t>
        </w:r>
      </w:hyperlink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вымогательство </w:t>
      </w:r>
      <w:hyperlink r:id="rId21" w:history="1">
        <w:r w:rsidRPr="00E655F6">
          <w:rPr>
            <w:rFonts w:ascii="Times New Roman" w:eastAsia="Times New Roman" w:hAnsi="Times New Roman" w:cs="Times New Roman"/>
            <w:color w:val="356AA0"/>
            <w:sz w:val="28"/>
            <w:szCs w:val="28"/>
            <w:lang w:eastAsia="ru-RU"/>
          </w:rPr>
          <w:t>(статья 163)</w:t>
        </w:r>
      </w:hyperlink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неправомерное завладение автомобилем или иным транспортным средством без цели хищения </w:t>
      </w:r>
      <w:hyperlink r:id="rId22" w:history="1">
        <w:r w:rsidRPr="00E655F6">
          <w:rPr>
            <w:rFonts w:ascii="Times New Roman" w:eastAsia="Times New Roman" w:hAnsi="Times New Roman" w:cs="Times New Roman"/>
            <w:color w:val="356AA0"/>
            <w:sz w:val="28"/>
            <w:szCs w:val="28"/>
            <w:lang w:eastAsia="ru-RU"/>
          </w:rPr>
          <w:t>(статья 166)</w:t>
        </w:r>
      </w:hyperlink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умышленные уничтожение или повреждение имущества при отягчающих обстоятельствах </w:t>
      </w:r>
      <w:hyperlink r:id="rId23" w:history="1">
        <w:r w:rsidRPr="00E655F6">
          <w:rPr>
            <w:rFonts w:ascii="Times New Roman" w:eastAsia="Times New Roman" w:hAnsi="Times New Roman" w:cs="Times New Roman"/>
            <w:color w:val="356AA0"/>
            <w:sz w:val="28"/>
            <w:szCs w:val="28"/>
            <w:lang w:eastAsia="ru-RU"/>
          </w:rPr>
          <w:t>(часть вторая статьи 167)</w:t>
        </w:r>
      </w:hyperlink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террористический акт </w:t>
      </w:r>
      <w:hyperlink r:id="rId24" w:history="1">
        <w:r w:rsidRPr="00E655F6">
          <w:rPr>
            <w:rFonts w:ascii="Times New Roman" w:eastAsia="Times New Roman" w:hAnsi="Times New Roman" w:cs="Times New Roman"/>
            <w:color w:val="356AA0"/>
            <w:sz w:val="28"/>
            <w:szCs w:val="28"/>
            <w:lang w:eastAsia="ru-RU"/>
          </w:rPr>
          <w:t>(статья 205)</w:t>
        </w:r>
      </w:hyperlink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захват заложника </w:t>
      </w:r>
      <w:hyperlink r:id="rId25" w:history="1">
        <w:r w:rsidRPr="00E655F6">
          <w:rPr>
            <w:rFonts w:ascii="Times New Roman" w:eastAsia="Times New Roman" w:hAnsi="Times New Roman" w:cs="Times New Roman"/>
            <w:color w:val="356AA0"/>
            <w:sz w:val="28"/>
            <w:szCs w:val="28"/>
            <w:lang w:eastAsia="ru-RU"/>
          </w:rPr>
          <w:t>(статья 206)</w:t>
        </w:r>
      </w:hyperlink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заведомо ложное сообщение об акте терроризма </w:t>
      </w:r>
      <w:hyperlink r:id="rId26" w:history="1">
        <w:r w:rsidRPr="00E655F6">
          <w:rPr>
            <w:rFonts w:ascii="Times New Roman" w:eastAsia="Times New Roman" w:hAnsi="Times New Roman" w:cs="Times New Roman"/>
            <w:color w:val="356AA0"/>
            <w:sz w:val="28"/>
            <w:szCs w:val="28"/>
            <w:lang w:eastAsia="ru-RU"/>
          </w:rPr>
          <w:t>(статья 207)</w:t>
        </w:r>
      </w:hyperlink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хулиганство при отягчающих обстоятельствах </w:t>
      </w:r>
      <w:hyperlink r:id="rId27" w:history="1">
        <w:r w:rsidRPr="00E655F6">
          <w:rPr>
            <w:rFonts w:ascii="Times New Roman" w:eastAsia="Times New Roman" w:hAnsi="Times New Roman" w:cs="Times New Roman"/>
            <w:color w:val="356AA0"/>
            <w:sz w:val="28"/>
            <w:szCs w:val="28"/>
            <w:lang w:eastAsia="ru-RU"/>
          </w:rPr>
          <w:t>(часть вторая статьи 213)</w:t>
        </w:r>
      </w:hyperlink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вандализм </w:t>
      </w:r>
      <w:hyperlink r:id="rId28" w:history="1">
        <w:r w:rsidRPr="00E655F6">
          <w:rPr>
            <w:rFonts w:ascii="Times New Roman" w:eastAsia="Times New Roman" w:hAnsi="Times New Roman" w:cs="Times New Roman"/>
            <w:color w:val="356AA0"/>
            <w:sz w:val="28"/>
            <w:szCs w:val="28"/>
            <w:lang w:eastAsia="ru-RU"/>
          </w:rPr>
          <w:t>(статья 214)</w:t>
        </w:r>
      </w:hyperlink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хищение либо вымогательство оружия, боеприпасов, взрывчатых веществ и взрывных устройств </w:t>
      </w:r>
      <w:hyperlink r:id="rId29" w:history="1">
        <w:r w:rsidRPr="00E655F6">
          <w:rPr>
            <w:rFonts w:ascii="Times New Roman" w:eastAsia="Times New Roman" w:hAnsi="Times New Roman" w:cs="Times New Roman"/>
            <w:color w:val="356AA0"/>
            <w:sz w:val="28"/>
            <w:szCs w:val="28"/>
            <w:lang w:eastAsia="ru-RU"/>
          </w:rPr>
          <w:t>(статья 226)</w:t>
        </w:r>
      </w:hyperlink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хищение либо вымогательство наркотических средств или психотропных веществ </w:t>
      </w:r>
      <w:hyperlink r:id="rId30" w:history="1">
        <w:r w:rsidRPr="00E655F6">
          <w:rPr>
            <w:rFonts w:ascii="Times New Roman" w:eastAsia="Times New Roman" w:hAnsi="Times New Roman" w:cs="Times New Roman"/>
            <w:color w:val="356AA0"/>
            <w:sz w:val="28"/>
            <w:szCs w:val="28"/>
            <w:lang w:eastAsia="ru-RU"/>
          </w:rPr>
          <w:t>(статья 229)</w:t>
        </w:r>
      </w:hyperlink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приведение в негодность транспортных средств или путей сообщения </w:t>
      </w:r>
      <w:hyperlink r:id="rId31" w:history="1">
        <w:r w:rsidRPr="00E655F6">
          <w:rPr>
            <w:rFonts w:ascii="Times New Roman" w:eastAsia="Times New Roman" w:hAnsi="Times New Roman" w:cs="Times New Roman"/>
            <w:color w:val="356AA0"/>
            <w:sz w:val="28"/>
            <w:szCs w:val="28"/>
            <w:lang w:eastAsia="ru-RU"/>
          </w:rPr>
          <w:t>(статья 267)</w:t>
        </w:r>
      </w:hyperlink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DA68D3" w:rsidRPr="00E655F6" w:rsidRDefault="00DA68D3" w:rsidP="00E65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несовершеннолетний достиг 14-летнего или 16-летнего возраста, но вследствие отставания в психическом развитии, не связанном с </w:t>
      </w: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психическим расстройством, во время совершения общественно опасного деяния не мог в полной мере осознавать фактический характер и общественную опасность своих действий (бездействия) либо руководить ими, он не подлежит уголовной ответственности.</w:t>
      </w:r>
    </w:p>
    <w:p w:rsidR="00DA68D3" w:rsidRPr="00E655F6" w:rsidRDefault="00DA68D3" w:rsidP="00E65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655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этом нужно помнить следующее</w:t>
      </w: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A68D3" w:rsidRPr="00E655F6" w:rsidRDefault="00DA68D3" w:rsidP="00E65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Лицо, совершившее преступление в состоянии опьянения, вызванном употреблением алкоголя, наркотических средств или других </w:t>
      </w:r>
      <w:hyperlink r:id="rId32" w:history="1">
        <w:r w:rsidRPr="00E655F6">
          <w:rPr>
            <w:rFonts w:ascii="Times New Roman" w:eastAsia="Times New Roman" w:hAnsi="Times New Roman" w:cs="Times New Roman"/>
            <w:color w:val="356AA0"/>
            <w:sz w:val="28"/>
            <w:szCs w:val="28"/>
            <w:lang w:eastAsia="ru-RU"/>
          </w:rPr>
          <w:t>одурманивающих веществ</w:t>
        </w:r>
      </w:hyperlink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подлежит уголовной ответственности!</w:t>
      </w:r>
    </w:p>
    <w:p w:rsidR="00DA68D3" w:rsidRPr="00E655F6" w:rsidRDefault="00DA68D3" w:rsidP="00E65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bookmarkStart w:id="0" w:name="_GoBack"/>
      <w:bookmarkEnd w:id="0"/>
    </w:p>
    <w:sectPr w:rsidR="00DA68D3" w:rsidRPr="00E655F6" w:rsidSect="00156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44DA2"/>
    <w:multiLevelType w:val="multilevel"/>
    <w:tmpl w:val="2B92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6F3196"/>
    <w:multiLevelType w:val="multilevel"/>
    <w:tmpl w:val="252E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903C34"/>
    <w:multiLevelType w:val="multilevel"/>
    <w:tmpl w:val="B72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5A7"/>
    <w:rsid w:val="0015658C"/>
    <w:rsid w:val="005145A7"/>
    <w:rsid w:val="0070455A"/>
    <w:rsid w:val="00D8482E"/>
    <w:rsid w:val="00DA68D3"/>
    <w:rsid w:val="00E65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8D3"/>
    <w:rPr>
      <w:b/>
      <w:bCs/>
    </w:rPr>
  </w:style>
  <w:style w:type="character" w:customStyle="1" w:styleId="apple-converted-space">
    <w:name w:val="apple-converted-space"/>
    <w:basedOn w:val="a0"/>
    <w:rsid w:val="00DA68D3"/>
  </w:style>
  <w:style w:type="character" w:styleId="a5">
    <w:name w:val="Hyperlink"/>
    <w:basedOn w:val="a0"/>
    <w:uiPriority w:val="99"/>
    <w:semiHidden/>
    <w:unhideWhenUsed/>
    <w:rsid w:val="00DA68D3"/>
    <w:rPr>
      <w:color w:val="0000FF"/>
      <w:u w:val="single"/>
    </w:rPr>
  </w:style>
  <w:style w:type="character" w:styleId="a6">
    <w:name w:val="Emphasis"/>
    <w:basedOn w:val="a0"/>
    <w:uiPriority w:val="20"/>
    <w:qFormat/>
    <w:rsid w:val="00DA68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8D3"/>
    <w:rPr>
      <w:b/>
      <w:bCs/>
    </w:rPr>
  </w:style>
  <w:style w:type="character" w:customStyle="1" w:styleId="apple-converted-space">
    <w:name w:val="apple-converted-space"/>
    <w:basedOn w:val="a0"/>
    <w:rsid w:val="00DA68D3"/>
  </w:style>
  <w:style w:type="character" w:styleId="a5">
    <w:name w:val="Hyperlink"/>
    <w:basedOn w:val="a0"/>
    <w:uiPriority w:val="99"/>
    <w:semiHidden/>
    <w:unhideWhenUsed/>
    <w:rsid w:val="00DA68D3"/>
    <w:rPr>
      <w:color w:val="0000FF"/>
      <w:u w:val="single"/>
    </w:rPr>
  </w:style>
  <w:style w:type="character" w:styleId="a6">
    <w:name w:val="Emphasis"/>
    <w:basedOn w:val="a0"/>
    <w:uiPriority w:val="20"/>
    <w:qFormat/>
    <w:rsid w:val="00DA68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5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3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1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31703">
          <w:marLeft w:val="0"/>
          <w:marRight w:val="0"/>
          <w:marTop w:val="0"/>
          <w:marBottom w:val="0"/>
          <w:divBdr>
            <w:top w:val="single" w:sz="48" w:space="2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29F972C18FDB6F7435CCD8B47A9FDAB362E78F1F4B61FA5F097964FEC726E8E1D3BE8A712395E5mE74E" TargetMode="External"/><Relationship Id="rId13" Type="http://schemas.openxmlformats.org/officeDocument/2006/relationships/hyperlink" Target="consultantplus://offline/ref=8255E80E8FE159BC138A2C5B619DC21CC4DFC1A9FFDEE1DFC6F649DF2BFAF8B2714CF34F8FD32BEAk4B6F" TargetMode="External"/><Relationship Id="rId18" Type="http://schemas.openxmlformats.org/officeDocument/2006/relationships/hyperlink" Target="consultantplus://offline/ref=8255E80E8FE159BC138A2C5B619DC21CC4DFC1A9FFDEE1DFC6F649DF2BFAF8B2714CF34F8FD12BE5k4B5F" TargetMode="External"/><Relationship Id="rId26" Type="http://schemas.openxmlformats.org/officeDocument/2006/relationships/hyperlink" Target="consultantplus://offline/ref=8255E80E8FE159BC138A2C5B619DC21CC4DFC1A9FFDEE1DFC6F649DF2BFAF8B2714CF34F8FD22DEEk4B2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255E80E8FE159BC138A2C5B619DC21CC4DFC1A9FFDEE1DFC6F649DF2BFAF8B2714CF34F8FD327EBk4BCF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1E29F972C18FDB6F7435CCD8B47A9FDAB362E78F1F4B61FA5F097964FEC726E8E1D3BE8A712394E6mE71E" TargetMode="External"/><Relationship Id="rId12" Type="http://schemas.openxmlformats.org/officeDocument/2006/relationships/hyperlink" Target="consultantplus://offline/ref=8255E80E8FE159BC138A2C5B619DC21CC4DFC1A9FFDEE1DFC6F649DF2BFAF8B2714CF34F8FD32BEEk4B1F" TargetMode="External"/><Relationship Id="rId17" Type="http://schemas.openxmlformats.org/officeDocument/2006/relationships/hyperlink" Target="consultantplus://offline/ref=8255E80E8FE159BC138A2C5B619DC21CC4DFC1A9FFDEE1DFC6F649DF2BFAF8B2714CF34F8FD329E9k4B1F" TargetMode="External"/><Relationship Id="rId25" Type="http://schemas.openxmlformats.org/officeDocument/2006/relationships/hyperlink" Target="consultantplus://offline/ref=8255E80E8FE159BC138A2C5B619DC21CC4DFC1A9FFDEE1DFC6F649DF2BFAF8B2714CF34F8FD22DEFk4B4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255E80E8FE159BC138A2C5B619DC21CC4DFC1A9FFDEE1DFC6F649DF2BFAF8B2714CF34F8FD329EFk4BCF" TargetMode="External"/><Relationship Id="rId20" Type="http://schemas.openxmlformats.org/officeDocument/2006/relationships/hyperlink" Target="consultantplus://offline/ref=8255E80E8FE159BC138A2C5B619DC21CC4DFC1A9FFDEE1DFC6F649DF2BFAF8B2714CF34F8FD128EFk4B2F" TargetMode="External"/><Relationship Id="rId29" Type="http://schemas.openxmlformats.org/officeDocument/2006/relationships/hyperlink" Target="consultantplus://offline/ref=8255E80E8FE159BC138A2C5B619DC21CC4DFC1A9FFDEE1DFC6F649DF2BFAF8B2714CF34F8FD22AEAk4BC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E29F972C18FDB6F7435CCD8B47A9FDAB362E78F1F4B61FA5F097964FEC726E8E1D3BE8C74m272E" TargetMode="External"/><Relationship Id="rId11" Type="http://schemas.openxmlformats.org/officeDocument/2006/relationships/hyperlink" Target="consultantplus://offline/ref=1E29F972C18FDB6F7435CCD8B47A9FDAB362E78F1F4B61FA5F097964FEC726E8E1D3BE8A712395E3mE75E" TargetMode="External"/><Relationship Id="rId24" Type="http://schemas.openxmlformats.org/officeDocument/2006/relationships/hyperlink" Target="consultantplus://offline/ref=8255E80E8FE159BC138A2C5B619DC21CC4DFC1A9FFDEE1DFC6F649DF2BFAF8B2714CF34F8FD22DEDk4B6F" TargetMode="External"/><Relationship Id="rId32" Type="http://schemas.openxmlformats.org/officeDocument/2006/relationships/hyperlink" Target="consultantplus://offline/ref=9712C492C9E86BC025DE60CED42455C85F3F2340698A741A101161C66D44657E67396E158B0B6822u8C4F" TargetMode="External"/><Relationship Id="rId5" Type="http://schemas.openxmlformats.org/officeDocument/2006/relationships/hyperlink" Target="consultantplus://offline/ref=1E29F972C18FDB6F7435CCD8B47A9FDAB362E78F1F4B61FA5F097964FEC726E8E1D3BE8A712395E0mE78E" TargetMode="External"/><Relationship Id="rId15" Type="http://schemas.openxmlformats.org/officeDocument/2006/relationships/hyperlink" Target="consultantplus://offline/ref=8255E80E8FE159BC138A2C5B619DC21CC4DFC1A9FFDEE1DFC6F649DF2BFAF8B2714CF34F8FD328EAk4BDF" TargetMode="External"/><Relationship Id="rId23" Type="http://schemas.openxmlformats.org/officeDocument/2006/relationships/hyperlink" Target="consultantplus://offline/ref=8255E80E8FE159BC138A2C5B619DC21CC4DFC1A9FFDEE1DFC6F649DF2BFAF8B2714CF34F8FD128EBk4B6F" TargetMode="External"/><Relationship Id="rId28" Type="http://schemas.openxmlformats.org/officeDocument/2006/relationships/hyperlink" Target="consultantplus://offline/ref=8255E80E8FE159BC138A2C5B619DC21CC4DFC1A9FFDEE1DFC6F649DF2BFAF8B2714CF34F8FD22DE5k4BDF" TargetMode="External"/><Relationship Id="rId10" Type="http://schemas.openxmlformats.org/officeDocument/2006/relationships/hyperlink" Target="consultantplus://offline/ref=1E29F972C18FDB6F7435CCD8B47A9FDAB362E78F1F4B61FA5F097964FEC726E8E1D3BE8A742Bm97CE" TargetMode="External"/><Relationship Id="rId19" Type="http://schemas.openxmlformats.org/officeDocument/2006/relationships/hyperlink" Target="consultantplus://offline/ref=8255E80E8FE159BC138A2C5B619DC21CC4DFC1A9FFDEE1DFC6F649DF2BFAF8B2714CF34F8FD327EEk4BCF" TargetMode="External"/><Relationship Id="rId31" Type="http://schemas.openxmlformats.org/officeDocument/2006/relationships/hyperlink" Target="consultantplus://offline/ref=8255E80E8FE159BC138A2C5B619DC21CC4DFC1A9FFDEE1DFC6F649DF2BFAF8B2714CF34F8FD229E8k4B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29F972C18FDB6F7435CCD8B47A9FDAB362E38B164861FA5F097964FEmC77E" TargetMode="External"/><Relationship Id="rId14" Type="http://schemas.openxmlformats.org/officeDocument/2006/relationships/hyperlink" Target="consultantplus://offline/ref=8255E80E8FE159BC138A2C5B619DC21CC4DFC1A9FFDEE1DFC6F649DF2BFAF8B2714CF34F8FD32BE4k4B7F" TargetMode="External"/><Relationship Id="rId22" Type="http://schemas.openxmlformats.org/officeDocument/2006/relationships/hyperlink" Target="consultantplus://offline/ref=8255E80E8FE159BC138A2C5B619DC21CC4DFC1A9FFDEE1DFC6F649DF2BFAF8B2714CF34F8FD22EEDk4B4F" TargetMode="External"/><Relationship Id="rId27" Type="http://schemas.openxmlformats.org/officeDocument/2006/relationships/hyperlink" Target="consultantplus://offline/ref=8255E80E8FE159BC138A2C5B619DC21CC4DFC1A9FFDEE1DFC6F649DF2BFAF8B2714CF34F8FD126EEk4BCF" TargetMode="External"/><Relationship Id="rId30" Type="http://schemas.openxmlformats.org/officeDocument/2006/relationships/hyperlink" Target="consultantplus://offline/ref=8255E80E8FE159BC138A2C5B619DC21CC4DFC1A9FFDEE1DFC6F649DF2BFAF8B2714CF34F8FD22BECk4BDF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1838</Words>
  <Characters>10478</Characters>
  <Application>Microsoft Office Word</Application>
  <DocSecurity>0</DocSecurity>
  <Lines>87</Lines>
  <Paragraphs>24</Paragraphs>
  <ScaleCrop>false</ScaleCrop>
  <Company/>
  <LinksUpToDate>false</LinksUpToDate>
  <CharactersWithSpaces>12292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Касимова Юлия Сергеевна</dc:creator>
  <cp:keywords/>
  <dc:description/>
  <cp:lastModifiedBy>Учитель</cp:lastModifiedBy>
  <cp:revision>5</cp:revision>
  <cp:lastPrinted>2016-11-22T04:35:00Z</cp:lastPrinted>
  <dcterms:created xsi:type="dcterms:W3CDTF">2016-11-14T09:21:00Z</dcterms:created>
  <dcterms:modified xsi:type="dcterms:W3CDTF">2016-11-22T04:36:00Z</dcterms:modified>
</cp:coreProperties>
</file>